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56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Мошковского Александра Витальевича, </w:t>
      </w:r>
      <w:r>
        <w:rPr>
          <w:rStyle w:val="cat-ExternalSystemDefinedgrp-4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являющегося председателем правления ГСК «Каштан», зарегистрированного и проживающего по адресу: </w:t>
      </w:r>
      <w:r>
        <w:rPr>
          <w:rStyle w:val="cat-UserDefinedgrp-4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40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Мошковский А.В., являясь председателем правления ГСК «Каштан», зарегистрированного по адресу: ХМАО-Югра, г. Нефтеюганск, Пр-д 5П, стр.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Мошковский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Мошковского А.В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Мошковского А.В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50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Мошковский А.В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п.6 ст.80 Налогового кодекса РФ налоговая декларация представляется в установленные законодательством о налогах и сборах сроки.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1, 2 ст. 346.12 Налогового кодекса РФ,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 Организация имеет право перейти на упрощенную систему налогообложения, если по итогам девяти месяцев того года, в котором организация подает уведомление о переходе на упрощенную систему налогообложения, доходы, определяемые в соответствии со статьей 248 настоящего Кодекса, не превысили 112,5 млн. рублей.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пп. 1 п. 1 ст. 346.23 Налогового кодекса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Проанализировав и оценив в совокупности изложенные выше доказательства, мировой судья пришел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правления ГСК «Каштан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установлена и доказана, его деяние подлежит квалификации по ст. 15.5 КоАП РФ, так как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этим, несмотря на то,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правления ГСК «Каштан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Мошковского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имеется состав административного правонарушения, мировой судья учитывает обстоятельства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административного правонарушения.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квитанции о приеме налоговой декларации следует, что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ГСК «Каштан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 налоговый орган представлена 26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этом срок предоставления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24:00 час. 25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</w:t>
      </w:r>
      <w:r>
        <w:rPr>
          <w:rFonts w:ascii="Times New Roman" w:eastAsia="Times New Roman" w:hAnsi="Times New Roman" w:cs="Times New Roman"/>
          <w:sz w:val="26"/>
          <w:szCs w:val="26"/>
        </w:rPr>
        <w:t>ГСК «Каштан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 лице его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нарушен срок представления сведений, необходимых для осуществления налогового контроля, который составил 1 день. При этом, незначительная просрочка представления сведений не создала существенной угрозы охраняемым общественным отношениям, такие доказательства в деле отсутствуют.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 21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Формально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имеется состав административного правонарушения, однако деяние не повлекло неблагоприятных последствий, не лишило налоговые органы возможности осуществления контроля, за правильностью исчисления, удержания и перечисления налогов </w:t>
      </w:r>
      <w:r>
        <w:rPr>
          <w:rFonts w:ascii="Times New Roman" w:eastAsia="Times New Roman" w:hAnsi="Times New Roman" w:cs="Times New Roman"/>
          <w:sz w:val="26"/>
          <w:szCs w:val="26"/>
        </w:rPr>
        <w:t>ГСК «Каштан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». Таким образом, несвоевременное представление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ГСК «Каштан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налогового расчета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9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повлекло существенного нарушения охраняемых общественных правоотношений и государственных интересов, что свидетельствует о малозначительности административного правонарушения.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мировой судья считает, что совершенное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 правления ГСК «Каштан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административное правонарушение в силу ст. 2.9 КоАП РФ является малозначительным,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правления ГСК «Каштан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 следует освободить от административной ответственности и ограничиться устным замечанием.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2.9, 29.9 ч.1, 29.10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правления ГСК «Каштан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Мошковского Александра Витальевича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прекратить в связи с малозначительностью.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Объявить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правления ГСК «Каштан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sz w:val="26"/>
          <w:szCs w:val="26"/>
        </w:rPr>
        <w:t>шковскому Александру Витальевичу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устное замечание.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6">
    <w:name w:val="cat-ExternalSystemDefined grp-47 rplc-6"/>
    <w:basedOn w:val="DefaultParagraphFont"/>
  </w:style>
  <w:style w:type="character" w:customStyle="1" w:styleId="cat-PassportDatagrp-39rplc-7">
    <w:name w:val="cat-PassportData grp-39 rplc-7"/>
    <w:basedOn w:val="DefaultParagraphFont"/>
  </w:style>
  <w:style w:type="character" w:customStyle="1" w:styleId="cat-UserDefinedgrp-49rplc-9">
    <w:name w:val="cat-UserDefined grp-49 rplc-9"/>
    <w:basedOn w:val="DefaultParagraphFont"/>
  </w:style>
  <w:style w:type="character" w:customStyle="1" w:styleId="cat-PassportDatagrp-40rplc-11">
    <w:name w:val="cat-PassportData grp-40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8rplc-13">
    <w:name w:val="cat-ExternalSystemDefined grp-48 rplc-13"/>
    <w:basedOn w:val="DefaultParagraphFont"/>
  </w:style>
  <w:style w:type="character" w:customStyle="1" w:styleId="cat-UserDefinedgrp-50rplc-26">
    <w:name w:val="cat-UserDefined grp-50 rplc-26"/>
    <w:basedOn w:val="DefaultParagraphFont"/>
  </w:style>
  <w:style w:type="character" w:customStyle="1" w:styleId="cat-UserDefinedgrp-51rplc-57">
    <w:name w:val="cat-UserDefined grp-51 rplc-57"/>
    <w:basedOn w:val="DefaultParagraphFont"/>
  </w:style>
  <w:style w:type="character" w:customStyle="1" w:styleId="cat-UserDefinedgrp-52rplc-60">
    <w:name w:val="cat-UserDefined grp-5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